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A8" w:rsidRPr="00D525A8" w:rsidRDefault="00D525A8" w:rsidP="00D5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06B30" wp14:editId="24DCE2B6">
            <wp:extent cx="2095500" cy="542925"/>
            <wp:effectExtent l="0" t="0" r="0" b="9525"/>
            <wp:docPr id="1" name="Рисунок 1" descr="Jeremias — дымоходы из нержавеющей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emias — дымоходы из нержавеющей ста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CF" w:rsidRPr="00560ACF" w:rsidRDefault="00560ACF" w:rsidP="00560ACF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60ACF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Положение по гарантии</w:t>
      </w:r>
    </w:p>
    <w:p w:rsidR="00560ACF" w:rsidRPr="00560ACF" w:rsidRDefault="00560ACF" w:rsidP="00560ACF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ru-RU"/>
        </w:rPr>
      </w:pPr>
      <w:r w:rsidRPr="00560ACF">
        <w:rPr>
          <w:rFonts w:eastAsia="Times New Roman" w:cstheme="minorHAnsi"/>
          <w:b/>
          <w:bCs/>
          <w:sz w:val="24"/>
          <w:szCs w:val="24"/>
          <w:lang w:eastAsia="ru-RU"/>
        </w:rPr>
        <w:t>Ограничения по использованию: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 xml:space="preserve">• Использование дымоходов в условиях, где в окружающем воздухе и продуктах сгорания присутствуют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хлоруглеводородистые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 соединения (хлор-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фторуглероды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 (фреоны)</w:t>
      </w:r>
      <w:proofErr w:type="gramStart"/>
      <w:r w:rsidRPr="00560ACF">
        <w:rPr>
          <w:rFonts w:eastAsia="Times New Roman" w:cstheme="minorHAnsi"/>
          <w:sz w:val="24"/>
          <w:szCs w:val="24"/>
          <w:lang w:eastAsia="ru-RU"/>
        </w:rPr>
        <w:t>,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м</w:t>
      </w:r>
      <w:proofErr w:type="gramEnd"/>
      <w:r w:rsidRPr="00560ACF">
        <w:rPr>
          <w:rFonts w:eastAsia="Times New Roman" w:cstheme="minorHAnsi"/>
          <w:sz w:val="24"/>
          <w:szCs w:val="24"/>
          <w:lang w:eastAsia="ru-RU"/>
        </w:rPr>
        <w:t>етиленхлорид,дихлордифторметан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трихлорэтилен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тетрахлорэтилен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, гидрофторуглероды,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перхлорэтилен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трихлорэтан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трихлорэтилен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метиленхлорид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>,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четыреххлористый углерод, соляная кислота) и других агрессивных химических соединений - запрещается;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• Максимальная температура продуктов сгорания не должна превышать указанные значения (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см.п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. </w:t>
      </w:r>
      <w:proofErr w:type="gramStart"/>
      <w:r w:rsidRPr="00560ACF">
        <w:rPr>
          <w:rFonts w:eastAsia="Times New Roman" w:cstheme="minorHAnsi"/>
          <w:sz w:val="24"/>
          <w:szCs w:val="24"/>
          <w:lang w:eastAsia="ru-RU"/>
        </w:rPr>
        <w:t>«Режим эксплуатации» в инструкции по эксплуатации);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• Не допускайте контакта элементов установки с ферритным или менее качественным металлом;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• При вероятности выпадения кислотных дождей или кислотного конденсата в зоне установки наружного участка дымохода возможно появление пятен коррозии на элементах установки.</w:t>
      </w:r>
      <w:proofErr w:type="gramEnd"/>
    </w:p>
    <w:p w:rsidR="00560ACF" w:rsidRPr="00560ACF" w:rsidRDefault="00560ACF" w:rsidP="00560ACF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ru-RU"/>
        </w:rPr>
      </w:pPr>
      <w:r w:rsidRPr="00560AC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Транспортировка, хранение и монтаж: 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 xml:space="preserve">транспортировка элементов допускается любым видом транспорта с соблюдением мер по предотвращению ударов и других механических воздействий. Хранение элементов должно производиться вертикально, с постоянной защитой элементов от искр, загрязнений и возможных механических повреждений, снятие упаковки должно производиться непосредственно перед монтажом. Монтаж установок должен производиться специализированной компанией, имеющей разрешение на производство соответствующих видов работ. 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</w:r>
      <w:r w:rsidRPr="00560ACF">
        <w:rPr>
          <w:rFonts w:eastAsia="Times New Roman" w:cstheme="minorHAnsi"/>
          <w:sz w:val="24"/>
          <w:szCs w:val="24"/>
          <w:lang w:eastAsia="ru-RU"/>
        </w:rPr>
        <w:br/>
      </w:r>
      <w:proofErr w:type="gramStart"/>
      <w:r w:rsidRPr="00560ACF">
        <w:rPr>
          <w:rFonts w:eastAsia="Times New Roman" w:cstheme="minorHAnsi"/>
          <w:b/>
          <w:bCs/>
          <w:sz w:val="24"/>
          <w:szCs w:val="24"/>
          <w:lang w:eastAsia="ru-RU"/>
        </w:rPr>
        <w:t>Условия действия гарантии: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- выполнение профессионального монтажа с учетом норм проектирования;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 xml:space="preserve">- правильная комплектация и установка отдельных элементов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Jeremias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 от выхлопного патрубка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теплогенератора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 до устья дымохода;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 xml:space="preserve">- полное предотвращение воздействия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хлоруглеводородистых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 соединений; 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- осуществление чистки труб из нержавеющей стали щетками с рабочей поверхностью из полимеров или нержавеющей стали;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- исключение контакта нержавеющей стали с ферритным или менее качественным металлом.</w:t>
      </w:r>
      <w:proofErr w:type="gramEnd"/>
      <w:r w:rsidRPr="00560ACF">
        <w:rPr>
          <w:rFonts w:eastAsia="Times New Roman" w:cstheme="minorHAnsi"/>
          <w:sz w:val="24"/>
          <w:szCs w:val="24"/>
          <w:lang w:eastAsia="ru-RU"/>
        </w:rPr>
        <w:br/>
      </w:r>
      <w:r w:rsidRPr="00560ACF">
        <w:rPr>
          <w:rFonts w:eastAsia="Times New Roman" w:cstheme="minorHAnsi"/>
          <w:sz w:val="24"/>
          <w:szCs w:val="24"/>
          <w:lang w:eastAsia="ru-RU"/>
        </w:rPr>
        <w:br/>
      </w:r>
      <w:r w:rsidRPr="00560ACF">
        <w:rPr>
          <w:rFonts w:eastAsia="Times New Roman" w:cstheme="minorHAnsi"/>
          <w:b/>
          <w:bCs/>
          <w:sz w:val="24"/>
          <w:szCs w:val="24"/>
          <w:lang w:eastAsia="ru-RU"/>
        </w:rPr>
        <w:t>Ограничения по гарантии: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 xml:space="preserve">1) на системы отвода продуктов сгорания, выполненные из нержавеющей стали AISI304 (1.4301) гарантийный срок </w:t>
      </w:r>
      <w:r w:rsidRPr="00560ACF">
        <w:rPr>
          <w:rFonts w:eastAsia="Times New Roman" w:cstheme="minorHAnsi"/>
          <w:b/>
          <w:bCs/>
          <w:sz w:val="24"/>
          <w:szCs w:val="24"/>
          <w:lang w:eastAsia="ru-RU"/>
        </w:rPr>
        <w:t>10 лет</w:t>
      </w:r>
      <w:r w:rsidRPr="00560ACF">
        <w:rPr>
          <w:rFonts w:eastAsia="Times New Roman" w:cstheme="minorHAnsi"/>
          <w:sz w:val="24"/>
          <w:szCs w:val="24"/>
          <w:lang w:eastAsia="ru-RU"/>
        </w:rPr>
        <w:t>, распространяется только при эксплуатации данных систем с теплогенерирующими устройствами, работающими на газовом топливе;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</w:r>
      <w:r w:rsidRPr="00560ACF">
        <w:rPr>
          <w:rFonts w:eastAsia="Times New Roman" w:cstheme="minorHAnsi"/>
          <w:sz w:val="24"/>
          <w:szCs w:val="24"/>
          <w:lang w:eastAsia="ru-RU"/>
        </w:rPr>
        <w:lastRenderedPageBreak/>
        <w:t xml:space="preserve">2) гарантийные условия на системы отвода продуктов сгорания, выполненные из нержавеющей стали AISI444 (1.4521), включая системы </w:t>
      </w:r>
      <w:hyperlink r:id="rId6" w:history="1">
        <w:r w:rsidRPr="00560ACF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ru-RU"/>
          </w:rPr>
          <w:t>DW-ECO</w:t>
        </w:r>
      </w:hyperlink>
      <w:r w:rsidRPr="00560ACF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Pr="00560ACF">
        <w:rPr>
          <w:rFonts w:eastAsia="Times New Roman" w:cstheme="minorHAnsi"/>
          <w:sz w:val="24"/>
          <w:szCs w:val="24"/>
          <w:lang w:eastAsia="ru-RU"/>
        </w:rPr>
        <w:t xml:space="preserve">и </w:t>
      </w:r>
      <w:hyperlink r:id="rId7" w:history="1">
        <w:r w:rsidRPr="00560ACF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ru-RU"/>
          </w:rPr>
          <w:t>EW-ECO</w:t>
        </w:r>
      </w:hyperlink>
      <w:r w:rsidRPr="00560ACF">
        <w:rPr>
          <w:rFonts w:eastAsia="Times New Roman" w:cstheme="minorHAnsi"/>
          <w:sz w:val="24"/>
          <w:szCs w:val="24"/>
          <w:lang w:eastAsia="ru-RU"/>
        </w:rPr>
        <w:t>, распространяются на срок: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 xml:space="preserve">- до </w:t>
      </w:r>
      <w:r w:rsidRPr="00560ACF">
        <w:rPr>
          <w:rFonts w:eastAsia="Times New Roman" w:cstheme="minorHAnsi"/>
          <w:b/>
          <w:bCs/>
          <w:sz w:val="24"/>
          <w:szCs w:val="24"/>
          <w:lang w:eastAsia="ru-RU"/>
        </w:rPr>
        <w:t>10 лет</w:t>
      </w:r>
      <w:r w:rsidRPr="00560ACF">
        <w:rPr>
          <w:rFonts w:eastAsia="Times New Roman" w:cstheme="minorHAnsi"/>
          <w:sz w:val="24"/>
          <w:szCs w:val="24"/>
          <w:lang w:eastAsia="ru-RU"/>
        </w:rPr>
        <w:t xml:space="preserve"> при эксплуатации данных систем с теплогенерирующими устройствами, работающими на газовом и жидком топливе (разряжение, сухой и влажный режим);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 xml:space="preserve">- </w:t>
      </w:r>
      <w:r w:rsidRPr="00560ACF">
        <w:rPr>
          <w:rFonts w:eastAsia="Times New Roman" w:cstheme="minorHAnsi"/>
          <w:b/>
          <w:bCs/>
          <w:sz w:val="24"/>
          <w:szCs w:val="24"/>
          <w:lang w:eastAsia="ru-RU"/>
        </w:rPr>
        <w:t>5 лет</w:t>
      </w:r>
      <w:r w:rsidRPr="00560ACF">
        <w:rPr>
          <w:rFonts w:eastAsia="Times New Roman" w:cstheme="minorHAnsi"/>
          <w:sz w:val="24"/>
          <w:szCs w:val="24"/>
          <w:lang w:eastAsia="ru-RU"/>
        </w:rPr>
        <w:t xml:space="preserve"> при их эксплуатации с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теплогенераторами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, работающими на твердом топливе с содержанием серы не более 3% (открытые камины и печи, котлы на </w:t>
      </w:r>
      <w:proofErr w:type="spellStart"/>
      <w:r w:rsidRPr="00560ACF">
        <w:rPr>
          <w:rFonts w:eastAsia="Times New Roman" w:cstheme="minorHAnsi"/>
          <w:sz w:val="24"/>
          <w:szCs w:val="24"/>
          <w:lang w:eastAsia="ru-RU"/>
        </w:rPr>
        <w:t>пеллетах</w:t>
      </w:r>
      <w:proofErr w:type="gramStart"/>
      <w:r w:rsidRPr="00560ACF">
        <w:rPr>
          <w:rFonts w:eastAsia="Times New Roman" w:cstheme="minorHAnsi"/>
          <w:sz w:val="24"/>
          <w:szCs w:val="24"/>
          <w:lang w:eastAsia="ru-RU"/>
        </w:rPr>
        <w:t>,п</w:t>
      </w:r>
      <w:proofErr w:type="gramEnd"/>
      <w:r w:rsidRPr="00560ACF">
        <w:rPr>
          <w:rFonts w:eastAsia="Times New Roman" w:cstheme="minorHAnsi"/>
          <w:sz w:val="24"/>
          <w:szCs w:val="24"/>
          <w:lang w:eastAsia="ru-RU"/>
        </w:rPr>
        <w:t>екарные</w:t>
      </w:r>
      <w:proofErr w:type="spellEnd"/>
      <w:r w:rsidRPr="00560ACF">
        <w:rPr>
          <w:rFonts w:eastAsia="Times New Roman" w:cstheme="minorHAnsi"/>
          <w:sz w:val="24"/>
          <w:szCs w:val="24"/>
          <w:lang w:eastAsia="ru-RU"/>
        </w:rPr>
        <w:t xml:space="preserve"> печи работающие под разряжением в сухом режиме);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3) гарантия на лакокрасочные покрытия и силиконовые уплотнительные кольца - 2 года;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4) гарантийные условия на двустенные системы отвода продуктов сгорания, внешняя оболочка которых выполнена из нержавеющей сталиAISI441 (1.4509) распространяются на срок до 5 лет;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</w:r>
      <w:proofErr w:type="gramStart"/>
      <w:r w:rsidRPr="00560ACF">
        <w:rPr>
          <w:rFonts w:eastAsia="Times New Roman" w:cstheme="minorHAnsi"/>
          <w:sz w:val="24"/>
          <w:szCs w:val="24"/>
          <w:lang w:eastAsia="ru-RU"/>
        </w:rPr>
        <w:t xml:space="preserve">5) </w:t>
      </w:r>
      <w:proofErr w:type="gramEnd"/>
      <w:r w:rsidRPr="00560ACF">
        <w:rPr>
          <w:rFonts w:eastAsia="Times New Roman" w:cstheme="minorHAnsi"/>
          <w:sz w:val="24"/>
          <w:szCs w:val="24"/>
          <w:lang w:eastAsia="ru-RU"/>
        </w:rPr>
        <w:t>гарантия не распространяется на элементы, которые можно отнести к расходным материалам;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6) гарантия не распространяется на системы отвода продуктов сгорания: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>- работающие в режиме разряжения (естественная тяга) и подвергшиеся аэродинамическому удару и деформациям (</w:t>
      </w:r>
      <w:hyperlink r:id="rId8" w:history="1">
        <w:r w:rsidRPr="00560ACF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удар Жуковского</w:t>
        </w:r>
      </w:hyperlink>
      <w:r w:rsidRPr="00560ACF">
        <w:rPr>
          <w:rFonts w:eastAsia="Times New Roman" w:cstheme="minorHAnsi"/>
          <w:sz w:val="24"/>
          <w:szCs w:val="24"/>
          <w:lang w:eastAsia="ru-RU"/>
        </w:rPr>
        <w:t xml:space="preserve">), в случае если на них не были предусмотрены </w:t>
      </w:r>
      <w:hyperlink r:id="rId9" w:history="1">
        <w:r w:rsidRPr="00560ACF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устройства вторичного пропуска воздуха (ограничителей тяги)</w:t>
        </w:r>
      </w:hyperlink>
      <w:r w:rsidRPr="00560ACF">
        <w:rPr>
          <w:rFonts w:eastAsia="Times New Roman" w:cstheme="minorHAnsi"/>
          <w:sz w:val="24"/>
          <w:szCs w:val="24"/>
          <w:lang w:eastAsia="ru-RU"/>
        </w:rPr>
        <w:t xml:space="preserve"> с достаточной пропускной способностью и противовзрывные клапана с соответствующей площадью сечения;</w:t>
      </w:r>
      <w:r w:rsidRPr="00560ACF">
        <w:rPr>
          <w:rFonts w:eastAsia="Times New Roman" w:cstheme="minorHAnsi"/>
          <w:sz w:val="24"/>
          <w:szCs w:val="24"/>
          <w:lang w:eastAsia="ru-RU"/>
        </w:rPr>
        <w:br/>
        <w:t xml:space="preserve">- </w:t>
      </w:r>
      <w:proofErr w:type="gramStart"/>
      <w:r w:rsidRPr="00560ACF">
        <w:rPr>
          <w:rFonts w:eastAsia="Times New Roman" w:cstheme="minorHAnsi"/>
          <w:sz w:val="24"/>
          <w:szCs w:val="24"/>
          <w:lang w:eastAsia="ru-RU"/>
        </w:rPr>
        <w:t>работающие в режиме избыточного давления и подвергшиеся аэродинамическому удару и деформациям (</w:t>
      </w:r>
      <w:hyperlink r:id="rId10" w:history="1">
        <w:r w:rsidRPr="00560ACF">
          <w:rPr>
            <w:rFonts w:eastAsia="Times New Roman" w:cstheme="minorHAnsi"/>
            <w:color w:val="0000FF"/>
            <w:sz w:val="24"/>
            <w:szCs w:val="24"/>
            <w:u w:val="single"/>
            <w:lang w:eastAsia="ru-RU"/>
          </w:rPr>
          <w:t>удар Жуковского</w:t>
        </w:r>
      </w:hyperlink>
      <w:r w:rsidRPr="00560ACF">
        <w:rPr>
          <w:rFonts w:eastAsia="Times New Roman" w:cstheme="minorHAnsi"/>
          <w:sz w:val="24"/>
          <w:szCs w:val="24"/>
          <w:lang w:eastAsia="ru-RU"/>
        </w:rPr>
        <w:t>), в случае если на них не были предусмотрены клапан Жуковского с достаточной пропускной способностью и противовзрывные клапана с соответствующей площадью сечения.</w:t>
      </w:r>
      <w:proofErr w:type="gramEnd"/>
    </w:p>
    <w:p w:rsidR="007478E3" w:rsidRDefault="007478E3"/>
    <w:sectPr w:rsidR="0074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CF"/>
    <w:rsid w:val="00560ACF"/>
    <w:rsid w:val="007478E3"/>
    <w:rsid w:val="00D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emias.ru/about/press/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remias.ru/catalog/se/eweco3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remias.ru/catalog/dymohod_sandwich/dwec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jeremias.ru/about/press/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remias.ru/catalog/accessories/termin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3416</Characters>
  <Application>Microsoft Office Word</Application>
  <DocSecurity>0</DocSecurity>
  <Lines>28</Lines>
  <Paragraphs>8</Paragraphs>
  <ScaleCrop>false</ScaleCrop>
  <Company>Компания МВ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2</cp:revision>
  <dcterms:created xsi:type="dcterms:W3CDTF">2014-08-21T11:48:00Z</dcterms:created>
  <dcterms:modified xsi:type="dcterms:W3CDTF">2014-08-21T11:59:00Z</dcterms:modified>
</cp:coreProperties>
</file>