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3D" w:rsidRPr="00455A1F" w:rsidRDefault="0077489F" w:rsidP="0077489F">
      <w:pPr>
        <w:spacing w:after="660" w:line="240" w:lineRule="auto"/>
        <w:jc w:val="center"/>
        <w:outlineLvl w:val="0"/>
        <w:rPr>
          <w:rFonts w:eastAsia="Times New Roman" w:cs="Helvetica"/>
          <w:kern w:val="36"/>
          <w:sz w:val="36"/>
          <w:szCs w:val="36"/>
          <w:lang w:eastAsia="ru-RU"/>
        </w:rPr>
      </w:pPr>
      <w:r>
        <w:rPr>
          <w:rFonts w:eastAsia="Times New Roman" w:cs="Helvetica"/>
          <w:kern w:val="36"/>
          <w:sz w:val="36"/>
          <w:szCs w:val="36"/>
          <w:lang w:eastAsia="ru-RU"/>
        </w:rPr>
        <w:t>У</w:t>
      </w:r>
      <w:r w:rsidR="003F673D" w:rsidRPr="00455A1F">
        <w:rPr>
          <w:rFonts w:eastAsia="Times New Roman" w:cs="Helvetica"/>
          <w:kern w:val="36"/>
          <w:sz w:val="36"/>
          <w:szCs w:val="36"/>
          <w:lang w:eastAsia="ru-RU"/>
        </w:rPr>
        <w:t xml:space="preserve">правление смесительным контуром по </w:t>
      </w:r>
      <w:proofErr w:type="spellStart"/>
      <w:r w:rsidR="003F673D" w:rsidRPr="00455A1F">
        <w:rPr>
          <w:rFonts w:eastAsia="Times New Roman" w:cs="Helvetica"/>
          <w:kern w:val="36"/>
          <w:sz w:val="36"/>
          <w:szCs w:val="36"/>
          <w:lang w:eastAsia="ru-RU"/>
        </w:rPr>
        <w:t>Open</w:t>
      </w:r>
      <w:proofErr w:type="spellEnd"/>
      <w:r w:rsidR="003F673D" w:rsidRPr="00455A1F">
        <w:rPr>
          <w:rFonts w:eastAsia="Times New Roman" w:cs="Helvetica"/>
          <w:kern w:val="36"/>
          <w:sz w:val="36"/>
          <w:szCs w:val="36"/>
          <w:lang w:eastAsia="ru-RU"/>
        </w:rPr>
        <w:t xml:space="preserve"> </w:t>
      </w:r>
      <w:proofErr w:type="spellStart"/>
      <w:r w:rsidR="003F673D" w:rsidRPr="00455A1F">
        <w:rPr>
          <w:rFonts w:eastAsia="Times New Roman" w:cs="Helvetica"/>
          <w:kern w:val="36"/>
          <w:sz w:val="36"/>
          <w:szCs w:val="36"/>
          <w:lang w:eastAsia="ru-RU"/>
        </w:rPr>
        <w:t>Therm</w:t>
      </w:r>
      <w:proofErr w:type="spellEnd"/>
      <w:r w:rsidRPr="0077489F">
        <w:rPr>
          <w:rFonts w:eastAsia="Times New Roman" w:cs="Helvetica"/>
          <w:kern w:val="36"/>
          <w:sz w:val="36"/>
          <w:szCs w:val="36"/>
          <w:lang w:eastAsia="ru-RU"/>
        </w:rPr>
        <w:t xml:space="preserve"> </w:t>
      </w:r>
      <w:r>
        <w:rPr>
          <w:rFonts w:eastAsia="Times New Roman" w:cs="Helvetica"/>
          <w:kern w:val="36"/>
          <w:sz w:val="36"/>
          <w:szCs w:val="36"/>
          <w:lang w:eastAsia="ru-RU"/>
        </w:rPr>
        <w:t xml:space="preserve">                 на котлах </w:t>
      </w:r>
      <w:proofErr w:type="spellStart"/>
      <w:r w:rsidRPr="00921BED">
        <w:rPr>
          <w:rFonts w:eastAsia="Times New Roman" w:cs="Helvetica"/>
          <w:kern w:val="36"/>
          <w:sz w:val="36"/>
          <w:szCs w:val="36"/>
          <w:lang w:val="en-US" w:eastAsia="ru-RU"/>
        </w:rPr>
        <w:t>Vitodens</w:t>
      </w:r>
      <w:proofErr w:type="spellEnd"/>
      <w:r w:rsidRPr="00921BED">
        <w:rPr>
          <w:rFonts w:eastAsia="Times New Roman" w:cs="Helvetica"/>
          <w:kern w:val="36"/>
          <w:sz w:val="36"/>
          <w:szCs w:val="36"/>
          <w:lang w:eastAsia="ru-RU"/>
        </w:rPr>
        <w:t xml:space="preserve"> 100/111-</w:t>
      </w:r>
      <w:r w:rsidRPr="00921BED">
        <w:rPr>
          <w:rFonts w:eastAsia="Times New Roman" w:cs="Helvetica"/>
          <w:kern w:val="36"/>
          <w:sz w:val="36"/>
          <w:szCs w:val="36"/>
          <w:lang w:val="en-US" w:eastAsia="ru-RU"/>
        </w:rPr>
        <w:t>W</w:t>
      </w:r>
      <w:r w:rsidRPr="00921BED">
        <w:t xml:space="preserve"> </w:t>
      </w:r>
      <w:r w:rsidRPr="00921BED">
        <w:rPr>
          <w:rFonts w:eastAsia="Times New Roman" w:cs="Helvetica"/>
          <w:kern w:val="36"/>
          <w:sz w:val="36"/>
          <w:szCs w:val="36"/>
          <w:lang w:eastAsia="ru-RU"/>
        </w:rPr>
        <w:t xml:space="preserve">и </w:t>
      </w:r>
      <w:proofErr w:type="spellStart"/>
      <w:r w:rsidRPr="00921BED">
        <w:rPr>
          <w:rFonts w:eastAsia="Times New Roman" w:cs="Helvetica"/>
          <w:kern w:val="36"/>
          <w:sz w:val="36"/>
          <w:szCs w:val="36"/>
          <w:lang w:val="en-US" w:eastAsia="ru-RU"/>
        </w:rPr>
        <w:t>Vitopend</w:t>
      </w:r>
      <w:bookmarkStart w:id="0" w:name="_GoBack"/>
      <w:bookmarkEnd w:id="0"/>
      <w:proofErr w:type="spellEnd"/>
      <w:r w:rsidRPr="00921BED">
        <w:rPr>
          <w:rFonts w:eastAsia="Times New Roman" w:cs="Helvetica"/>
          <w:kern w:val="36"/>
          <w:sz w:val="36"/>
          <w:szCs w:val="36"/>
          <w:lang w:eastAsia="ru-RU"/>
        </w:rPr>
        <w:t xml:space="preserve"> 100-</w:t>
      </w:r>
      <w:r w:rsidRPr="00921BED">
        <w:rPr>
          <w:rFonts w:eastAsia="Times New Roman" w:cs="Helvetica"/>
          <w:kern w:val="36"/>
          <w:sz w:val="36"/>
          <w:szCs w:val="36"/>
          <w:lang w:val="en-US" w:eastAsia="ru-RU"/>
        </w:rPr>
        <w:t>W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Котлы линейки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Vitodens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100-W тип WB1C, B1HC, B1KC, 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Vitodens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111-W тип B1LD и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Vitopend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100-W тип A1HB/A1JB имеют возможность управления дополнительным контуром со смесителем. Данная функция реализуется по аналогии с котлами </w:t>
      </w:r>
      <w:hyperlink r:id="rId6" w:history="1">
        <w:proofErr w:type="spellStart"/>
        <w:r w:rsidRPr="00176BBC">
          <w:rPr>
            <w:rFonts w:eastAsia="Times New Roman" w:cs="Helvetica"/>
            <w:sz w:val="24"/>
            <w:szCs w:val="24"/>
            <w:lang w:eastAsia="ru-RU"/>
          </w:rPr>
          <w:t>Vitod</w:t>
        </w:r>
        <w:r w:rsidRPr="00176BBC">
          <w:rPr>
            <w:rFonts w:eastAsia="Times New Roman" w:cs="Helvetica"/>
            <w:sz w:val="24"/>
            <w:szCs w:val="24"/>
            <w:lang w:eastAsia="ru-RU"/>
          </w:rPr>
          <w:t>e</w:t>
        </w:r>
        <w:r w:rsidRPr="00176BBC">
          <w:rPr>
            <w:rFonts w:eastAsia="Times New Roman" w:cs="Helvetica"/>
            <w:sz w:val="24"/>
            <w:szCs w:val="24"/>
            <w:lang w:eastAsia="ru-RU"/>
          </w:rPr>
          <w:t>ns</w:t>
        </w:r>
        <w:proofErr w:type="spellEnd"/>
        <w:r w:rsidRPr="00176BBC">
          <w:rPr>
            <w:rFonts w:eastAsia="Times New Roman" w:cs="Helvetica"/>
            <w:sz w:val="24"/>
            <w:szCs w:val="24"/>
            <w:lang w:eastAsia="ru-RU"/>
          </w:rPr>
          <w:t xml:space="preserve"> 200-W</w:t>
        </w:r>
      </w:hyperlink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.</w:t>
      </w:r>
    </w:p>
    <w:p w:rsidR="003F673D" w:rsidRPr="00455A1F" w:rsidRDefault="00455A1F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noProof/>
          <w:color w:val="337AB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39B262" wp14:editId="797D0EA6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1333500" cy="1333500"/>
            <wp:effectExtent l="0" t="0" r="0" b="0"/>
            <wp:wrapSquare wrapText="bothSides"/>
            <wp:docPr id="1" name="Рисунок 4" descr="Vitodens_100_openthem_byps_nast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todens_100_openthem_byps_nast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3D"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Отличия заключаются в специализированном блоке управления приводом смесителя </w:t>
      </w:r>
      <w:proofErr w:type="spellStart"/>
      <w:r w:rsidR="003F673D" w:rsidRPr="00455A1F">
        <w:rPr>
          <w:rFonts w:eastAsia="Times New Roman" w:cs="Helvetica"/>
          <w:color w:val="000000"/>
          <w:sz w:val="24"/>
          <w:szCs w:val="24"/>
          <w:lang w:eastAsia="ru-RU"/>
        </w:rPr>
        <w:t>Open</w:t>
      </w:r>
      <w:proofErr w:type="spellEnd"/>
      <w:r w:rsidR="003F673D"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3F673D" w:rsidRPr="00455A1F">
        <w:rPr>
          <w:rFonts w:eastAsia="Times New Roman" w:cs="Helvetica"/>
          <w:color w:val="000000"/>
          <w:sz w:val="24"/>
          <w:szCs w:val="24"/>
          <w:lang w:eastAsia="ru-RU"/>
        </w:rPr>
        <w:t>Therm</w:t>
      </w:r>
      <w:proofErr w:type="spellEnd"/>
      <w:r w:rsidR="003F673D" w:rsidRPr="00455A1F">
        <w:rPr>
          <w:rFonts w:eastAsia="Times New Roman" w:cs="Helvetica"/>
          <w:color w:val="000000"/>
          <w:sz w:val="24"/>
          <w:szCs w:val="24"/>
          <w:lang w:eastAsia="ru-RU"/>
        </w:rPr>
        <w:t>. Блок имеет настенное исполнение и комплектуется одним накладным датчиком температуры подающей магистрали. Для управления трехходовым регулирующим клапаном требуется электропривод (опция).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Возможная схема функционирования: блок управления </w:t>
      </w:r>
      <w:proofErr w:type="gram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подключается в контроллер</w:t>
      </w:r>
      <w:proofErr w:type="gram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на специализированный разъем шины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Open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Therm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.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В свою очередь, в блок управления можно подключить:</w:t>
      </w:r>
    </w:p>
    <w:p w:rsidR="003F673D" w:rsidRPr="00455A1F" w:rsidRDefault="003F673D" w:rsidP="00455A1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насос прямого контура (ступенчатый или с ШИМ-управлением)</w:t>
      </w:r>
    </w:p>
    <w:p w:rsidR="003F673D" w:rsidRPr="00455A1F" w:rsidRDefault="003F673D" w:rsidP="00455A1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насос смесительного контура (ступенчатый или с ШИМ-управлением)</w:t>
      </w:r>
    </w:p>
    <w:p w:rsidR="003F673D" w:rsidRPr="00455A1F" w:rsidRDefault="003F673D" w:rsidP="00455A1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электропривод трехходового смесительного клапана</w:t>
      </w:r>
    </w:p>
    <w:p w:rsidR="003F673D" w:rsidRPr="00455A1F" w:rsidRDefault="003F673D" w:rsidP="00455A1F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датчик температуры общей подающей магистрали (гидравлической стрелки)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DA7E739" wp14:editId="3D5E455B">
            <wp:extent cx="5715000" cy="3443654"/>
            <wp:effectExtent l="0" t="0" r="0" b="4445"/>
            <wp:docPr id="2" name="Рисунок 2" descr="https://viessmann.academy/wp-content/uploads/2016/07/Vitodens_100_openthem_byp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essmann.academy/wp-content/uploads/2016/07/Vitodens_100_openthem_byps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73" cy="34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 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Настройка отопительных кривых, программ отопления и ГВС, "дневных" и "ночных" температур производится с датчиков комнатной температуры - пульта управления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Vitotrol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100 OT.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lastRenderedPageBreak/>
        <w:t> 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Поставка блока управления приводом смесителя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Open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Therm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возможна в 3-х вариантах *¹,²:</w:t>
      </w:r>
    </w:p>
    <w:p w:rsidR="003F673D" w:rsidRPr="00455A1F" w:rsidRDefault="00455A1F" w:rsidP="00455A1F">
      <w:pPr>
        <w:spacing w:after="210"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noProof/>
          <w:color w:val="337AB7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97911E" wp14:editId="25A71CAB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1628775" cy="1063625"/>
            <wp:effectExtent l="0" t="0" r="9525" b="3175"/>
            <wp:wrapSquare wrapText="bothSides"/>
            <wp:docPr id="3" name="Рисунок 3" descr="Vitotrol_100_O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totrol_100_O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Комплект привода смесителя (</w:t>
      </w:r>
      <w:proofErr w:type="spellStart"/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Open</w:t>
      </w:r>
      <w:proofErr w:type="spellEnd"/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</w:t>
      </w:r>
      <w:proofErr w:type="spellStart"/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Therm</w:t>
      </w:r>
      <w:proofErr w:type="spellEnd"/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) - 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. </w:t>
      </w:r>
      <w:r w:rsidR="003F673D"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Z013877</w:t>
      </w:r>
    </w:p>
    <w:p w:rsidR="003F673D" w:rsidRPr="00455A1F" w:rsidRDefault="003F673D" w:rsidP="00455A1F">
      <w:pPr>
        <w:spacing w:after="210"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Пакет блока управления смесителем (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Open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Therm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) с 1 термостатом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Vitotrol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100 OT для помещений - 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Z013919</w:t>
      </w:r>
    </w:p>
    <w:p w:rsidR="003F673D" w:rsidRPr="00455A1F" w:rsidRDefault="003F673D" w:rsidP="00455A1F">
      <w:pPr>
        <w:spacing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Пакет блока управления смесителем (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Open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Therm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) с 2 термостатами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Vitotrol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100 OT для помещений - 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Z013920</w:t>
      </w:r>
    </w:p>
    <w:p w:rsidR="00455A1F" w:rsidRPr="00455A1F" w:rsidRDefault="00455A1F" w:rsidP="00455A1F">
      <w:pPr>
        <w:spacing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</w:p>
    <w:p w:rsidR="003F673D" w:rsidRPr="00455A1F" w:rsidRDefault="003F673D" w:rsidP="00455A1F">
      <w:pPr>
        <w:spacing w:after="300"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*¹ Накладной датчик температуры подающей магистрали смесительного контура всегда входит в объем поставки.</w:t>
      </w:r>
    </w:p>
    <w:p w:rsidR="003F673D" w:rsidRPr="00455A1F" w:rsidRDefault="003F673D" w:rsidP="00455A1F">
      <w:pPr>
        <w:spacing w:after="300"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*² Накладной (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7426463) или погружной (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7179488) для гидравлического разделителя заказывается отдельно, при необходимости.</w:t>
      </w:r>
    </w:p>
    <w:p w:rsidR="003F673D" w:rsidRPr="00455A1F" w:rsidRDefault="003F673D" w:rsidP="00455A1F">
      <w:pPr>
        <w:spacing w:after="150" w:line="240" w:lineRule="auto"/>
        <w:jc w:val="both"/>
        <w:rPr>
          <w:rFonts w:eastAsia="Times New Roman" w:cs="Helvetica"/>
          <w:color w:val="000000"/>
          <w:sz w:val="24"/>
          <w:szCs w:val="24"/>
          <w:lang w:eastAsia="ru-RU"/>
        </w:rPr>
      </w:pPr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Датчик уличной температуры для перевода контроллера в </w:t>
      </w:r>
      <w:proofErr w:type="spellStart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>погодозависимый</w:t>
      </w:r>
      <w:proofErr w:type="spellEnd"/>
      <w:r w:rsidRPr="00455A1F">
        <w:rPr>
          <w:rFonts w:eastAsia="Times New Roman" w:cs="Helvetica"/>
          <w:color w:val="000000"/>
          <w:sz w:val="24"/>
          <w:szCs w:val="24"/>
          <w:lang w:eastAsia="ru-RU"/>
        </w:rPr>
        <w:t xml:space="preserve"> режим работы не связан с работой блока управления и может заказываться с целью повышения энергетической эффективности работы котла</w:t>
      </w:r>
    </w:p>
    <w:p w:rsidR="003F673D" w:rsidRPr="00455A1F" w:rsidRDefault="003F673D" w:rsidP="00455A1F">
      <w:pPr>
        <w:spacing w:after="210"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для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Vitodens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100-W тип WB1C, B1HC, B1KC, 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Vitodens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111-W тип B1LD 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–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 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 xml:space="preserve">арт.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7427332</w:t>
      </w:r>
    </w:p>
    <w:p w:rsidR="003F673D" w:rsidRPr="00455A1F" w:rsidRDefault="003F673D" w:rsidP="00455A1F">
      <w:pPr>
        <w:spacing w:line="240" w:lineRule="auto"/>
        <w:jc w:val="both"/>
        <w:outlineLvl w:val="4"/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</w:pP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для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 xml:space="preserve"> </w:t>
      </w:r>
      <w:proofErr w:type="spellStart"/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>Vitopend</w:t>
      </w:r>
      <w:proofErr w:type="spellEnd"/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 xml:space="preserve"> 100-W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тип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 xml:space="preserve"> A1HB/A1JB 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>–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 xml:space="preserve"> </w:t>
      </w:r>
      <w:r w:rsidR="00176BBC">
        <w:rPr>
          <w:rFonts w:eastAsia="Times New Roman" w:cs="Helvetica"/>
          <w:b/>
          <w:bCs/>
          <w:color w:val="414141"/>
          <w:sz w:val="24"/>
          <w:szCs w:val="24"/>
          <w:lang w:eastAsia="ru-RU"/>
        </w:rPr>
        <w:t>арт</w:t>
      </w:r>
      <w:r w:rsidR="00176BBC" w:rsidRPr="00176BBC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 xml:space="preserve">. </w:t>
      </w:r>
      <w:r w:rsidRPr="00455A1F">
        <w:rPr>
          <w:rFonts w:eastAsia="Times New Roman" w:cs="Helvetica"/>
          <w:b/>
          <w:bCs/>
          <w:color w:val="414141"/>
          <w:sz w:val="24"/>
          <w:szCs w:val="24"/>
          <w:lang w:val="en-US" w:eastAsia="ru-RU"/>
        </w:rPr>
        <w:t>ZK02192.    </w:t>
      </w:r>
    </w:p>
    <w:p w:rsidR="006410DA" w:rsidRPr="00455A1F" w:rsidRDefault="006410DA" w:rsidP="00455A1F">
      <w:pPr>
        <w:jc w:val="both"/>
        <w:rPr>
          <w:sz w:val="24"/>
          <w:szCs w:val="24"/>
          <w:lang w:val="en-US"/>
        </w:rPr>
      </w:pPr>
    </w:p>
    <w:sectPr w:rsidR="006410DA" w:rsidRPr="0045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66A"/>
    <w:multiLevelType w:val="multilevel"/>
    <w:tmpl w:val="2DA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3AE0"/>
    <w:multiLevelType w:val="multilevel"/>
    <w:tmpl w:val="BB4A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3D"/>
    <w:rsid w:val="00176BBC"/>
    <w:rsid w:val="003F673D"/>
    <w:rsid w:val="00455A1F"/>
    <w:rsid w:val="006410DA"/>
    <w:rsid w:val="0077489F"/>
    <w:rsid w:val="009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2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15308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7675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essmann.academy/wp-content/uploads/2016/07/Vitodens_100_openthem_byps_nasten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ssmann.academy/faq/potrebitelyu/obschie-voprosyi/75-vitotronic-200-ko1b_ko2b_ho1b-chto-neobhodimo-dlya-upravleniya-otopitelnyimi-kontura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iessmann.academy/wp-content/uploads/2016/07/Vitotrol_100_O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5</cp:revision>
  <dcterms:created xsi:type="dcterms:W3CDTF">2017-12-08T14:29:00Z</dcterms:created>
  <dcterms:modified xsi:type="dcterms:W3CDTF">2018-01-10T10:08:00Z</dcterms:modified>
</cp:coreProperties>
</file>